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67F" w:rsidRDefault="0061167F" w:rsidP="0061167F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5 </w:t>
      </w:r>
    </w:p>
    <w:p w:rsidR="0061167F" w:rsidRPr="0061167F" w:rsidRDefault="0061167F" w:rsidP="0061167F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61167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61167F">
        <w:rPr>
          <w:rFonts w:ascii="Times New Roman" w:eastAsia="Times New Roman" w:hAnsi="Times New Roman" w:cs="Times New Roman"/>
          <w:bCs/>
          <w:lang w:eastAsia="pl-PL"/>
        </w:rPr>
        <w:t>145/10/2022</w:t>
      </w:r>
    </w:p>
    <w:p w:rsidR="0061167F" w:rsidRDefault="0061167F" w:rsidP="0061167F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:rsidR="0061167F" w:rsidRDefault="0061167F" w:rsidP="0061167F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z dnia 21 października 2022 r.</w:t>
      </w:r>
    </w:p>
    <w:p w:rsidR="0061167F" w:rsidRDefault="0061167F" w:rsidP="0061167F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61167F" w:rsidRPr="00986A72" w:rsidRDefault="0061167F" w:rsidP="0061167F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86A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:rsidR="00986A72" w:rsidRDefault="0061167F" w:rsidP="0061167F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A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:rsidR="0061167F" w:rsidRPr="00986A72" w:rsidRDefault="0061167F" w:rsidP="0061167F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A72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:rsidR="0061167F" w:rsidRPr="00986A72" w:rsidRDefault="0061167F" w:rsidP="0061167F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1273/30/2017 Krajowej Rady Biegłych Rewidentów z dnia 5 września 2017 r. w sprawie szczegółowego zakresu tematycznego </w:t>
      </w:r>
      <w:r w:rsidRPr="00986A72">
        <w:rPr>
          <w:rFonts w:ascii="Times New Roman" w:eastAsia="Times New Roman" w:hAnsi="Times New Roman" w:cs="Times New Roman"/>
          <w:i/>
          <w:szCs w:val="24"/>
          <w:lang w:eastAsia="pl-PL"/>
        </w:rPr>
        <w:t>egzaminów w</w:t>
      </w:r>
      <w:r w:rsidR="00986A72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986A72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postępowaniu kwalifikacyjnym na biegłych rewidentów </w:t>
      </w:r>
      <w:r w:rsidRPr="00986A72">
        <w:rPr>
          <w:rFonts w:ascii="Times New Roman" w:hAnsi="Times New Roman" w:cs="Times New Roman"/>
          <w:bCs/>
          <w:i/>
          <w:szCs w:val="24"/>
        </w:rPr>
        <w:t>zmienionej uchwałą Nr 2336/42/2022 Krajowej Rady Biegłych Rewidentów z dnia  30</w:t>
      </w:r>
      <w:r>
        <w:rPr>
          <w:rFonts w:ascii="Times New Roman" w:hAnsi="Times New Roman" w:cs="Times New Roman"/>
          <w:bCs/>
          <w:szCs w:val="24"/>
        </w:rPr>
        <w:t xml:space="preserve"> sierpnia 2022 r. </w:t>
      </w:r>
      <w:r w:rsidRPr="00986A72">
        <w:rPr>
          <w:rFonts w:ascii="Times New Roman" w:hAnsi="Times New Roman" w:cs="Times New Roman"/>
          <w:bCs/>
          <w:sz w:val="24"/>
          <w:szCs w:val="24"/>
        </w:rPr>
        <w:t>w</w:t>
      </w:r>
      <w:r w:rsidR="00986A72" w:rsidRPr="00986A72">
        <w:rPr>
          <w:rFonts w:ascii="Times New Roman" w:hAnsi="Times New Roman" w:cs="Times New Roman"/>
          <w:bCs/>
          <w:sz w:val="24"/>
          <w:szCs w:val="24"/>
        </w:rPr>
        <w:t> </w:t>
      </w:r>
      <w:r w:rsidRPr="00986A72">
        <w:rPr>
          <w:rFonts w:ascii="Times New Roman" w:hAnsi="Times New Roman" w:cs="Times New Roman"/>
          <w:bCs/>
          <w:sz w:val="24"/>
          <w:szCs w:val="24"/>
        </w:rPr>
        <w:t>przedmiocie zmiany uchwały w sprawie szczegółowego zakresu tematycznego egzaminów w postępowaniu kwalifikacyjnym na biegłych rewidentów</w:t>
      </w:r>
      <w:r w:rsidRPr="00986A7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)  </w:t>
      </w:r>
    </w:p>
    <w:p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E11EBE" w:rsidRPr="003E757B" w:rsidRDefault="004E6E0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Finanse i </w:t>
      </w:r>
      <w:r w:rsidR="00EB7A3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arządzanie </w:t>
      </w:r>
      <w:r w:rsidR="00EB7A3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f</w:t>
      </w:r>
      <w:bookmarkStart w:id="0" w:name="_GoBack"/>
      <w:bookmarkEnd w:id="0"/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inansami</w:t>
      </w:r>
    </w:p>
    <w:p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:rsidR="003E757B" w:rsidRPr="0047045D" w:rsidRDefault="003E757B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:rsidR="00E11EBE" w:rsidRPr="009B22C5" w:rsidRDefault="004E6E0A" w:rsidP="008A2B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B22C5">
              <w:rPr>
                <w:rFonts w:ascii="Times New Roman" w:hAnsi="Times New Roman" w:cs="Times New Roman"/>
                <w:b/>
                <w:sz w:val="18"/>
                <w:szCs w:val="18"/>
              </w:rPr>
              <w:t>5.1. Zarządzanie finansami jednostek gospodarczych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t xml:space="preserve">5.1.1.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Kapitały (fundusze) własne jednostek gospodarczych.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5.1.2. Rozliczenia pieniężne gotówkowe i bezgotówkowe, w tym w walutach obcych.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5.1.3. Zasilanie finansowe, analiza i prognozowanie przepływów pieniężnych.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5.1.4. Wycena przepływów pieniężnych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5.1.5.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lanowanie nakładów kapitałowych, 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analiza i ocena projektu inwestycyjnego, decyzje inwestycyjne w warunkach ryzyka i niepewności.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5.1.6. Długoterminowe decyzje finansowe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5.1.7. Krótkoterminowe decyzje finansowe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5.1.8. Planowanie finansowe: prognozy, zakres, modele.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5.1.9. Zarządzanie ryzykiem w gospoda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rce finansowej przedsiębiorstwa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5.1.10 Postępowanie restrukturyzacyjne oraz upadłościowe – aspekty finansowe.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5.2 Wycena przedsiębiorstw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9B22C5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5.2.1. Wycena przed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siębiorstw metodami majątkowymi.</w:t>
            </w:r>
          </w:p>
          <w:p w:rsidR="009B22C5" w:rsidRPr="00D57E17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5.2.2. Wycena przedsiębiors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tw metodami dochodowymi.</w:t>
            </w:r>
          </w:p>
          <w:p w:rsidR="009B22C5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5.2.3. Wycena prze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dsiębiorstw metodami mieszanymi.</w:t>
            </w:r>
          </w:p>
          <w:p w:rsidR="009B22C5" w:rsidRPr="00D57E17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5.2.4. Wycena przedsiębiorstw innymi metodami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E6E0A" w:rsidRP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5.3. Finanse publiczne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.3.1. Środki publiczne, nadwyżka i deficyt sektora finansów publicznych.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5.3.2. Jednostki zaliczane do sektora finansów publicznych.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5.3.3. Ogólne zasady gospodarki finansowej jednoste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k sektora finansów publicznych.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5.3.4. System finansowy jednostek budżetowych, samorządowych zakładów budżetowych,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państwowych funduszy celowych, agencji wykonawczych i instytucji gospodarki budżetowej.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5.3.5. Budżet państwa i budżety jed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nostek samorządu terytorialnego.</w:t>
            </w:r>
          </w:p>
          <w:p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5.3.6. System finansowego wspomagania gospodarki środkami z budżetu Unii Europejskiej.</w:t>
            </w:r>
          </w:p>
          <w:p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5.3.7. System finansowania przedsięwzięć publiczno-prywatnych.</w:t>
            </w:r>
          </w:p>
          <w:p w:rsidR="004E6E0A" w:rsidRP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5.4 Finanse banków i instytucji finansowych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5.4.1. System bankowy </w:t>
            </w:r>
            <w:r w:rsidR="009B22C5" w:rsidRPr="00D57E17">
              <w:rPr>
                <w:rFonts w:ascii="Times New Roman" w:hAnsi="Times New Roman" w:cs="Times New Roman"/>
                <w:sz w:val="18"/>
                <w:szCs w:val="18"/>
              </w:rPr>
              <w:t>– bank centralny i jego funkcje, banki państwowe, banki w formie spółek akcyjnych, banki hipoteczne, banki zrzeszające, banki spółdzielcze, oddziały i przedstawicielstwa instytucji kredytowych oraz banków zagranicznych.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5.4.2. Rola Banku Gospodarstwa Krajowego.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5.4.3. Finansowe grupy kapitałowe, w tym międzynarodowe, konglomeraty finansowe oraz struktury holdingowe.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5.4.4. Spółdzielcze kasy oszczędnościowo-kredytowe.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5.4.5. Inne instytucje finansowe.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5.4.6. Fundusze własne, ich kategorie i struktura oraz wewnętrzne relacje. Sposoby wnoszenia i zaliczania poszczególnych instrumentów do odpowiednich kategorii funduszy. Tworzenie, przeznaczenie, wykorzystanie, inne operacje i pozycje wpływające na poziom funduszy własnych poszczególnych rodzajów podmiotów.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5.4.7. Proces szacowania kapitału wewnętrznego oraz dokonywania przez banki jego przeglądów. 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5.4.8. Zakres i zasady wyznaczania wymogów kapitałowych, w tym zakres i warunki stosowania metod statystycznych.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5.4.9. Bufory kapitałowe – uwarunkowania stosowania, zasady kalkulacji, normy regulacyjne.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5.4.10. Domiar kapitałowy – definicja oraz zakres stosowania. Obowiązujące normy kapitałowe, poszczególne składowe, ich poziom oraz sposób obliczania, w tym zasady kalkulacji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współczynnika wypłacalności.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5.4.11. System zarządzania ryzykiem banku oraz system kontroli wewnętrznej, jako elementy systemu zarządzania. 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5.4.12. Kategorie identyfikowanego ryzyka w działalności bankowej, wiążące normy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ostrożnościowe, określające dopuszczalne ryzyko w działalności banku oraz zakres ich stosowania.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5.4.13. Uwarunkowania procesu wyznaczania akceptowalnego poziomu ryzyka.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5.4.14. System identyfikacji, pomiaru, monitorowania i raportowania ryzyka w działalności banku oraz innych podmiotów finansowych działających na rynku regulowanym.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5.4.15. Zarządzanie aktywami i pasywami, struktura finansowania oraz alokacja środków z uwzględnieniem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uwarunkowań walutowych, terminowych, zmienności stóp procentowych oraz ryzyka kontrahenta.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5.4.16. Limity wewnętrzne, normy koncentracji oraz pozostałe normy regulacyjne.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5.4.17. Rodzaje operacji i instrumentów bankowych realizowanych na rachunek własny, jak i oferowanych klientom, w tym prowadzenie rachunków bankowych, udzielanie kredytów i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pożyczek, gwarancji bankowych, poręczeń i akredytyw, emisja bankowych papierów wartościowych, emisja listów zastawnych, rozliczenia pieniężne – wymagania regulacyjne.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5.4.18. Uczestnictwo podmiotów finansowych w systemie bezpieczeństwa. System gwarancji depozytów – aspekty finansowe oraz obowiązki informacyjne.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5.4.19. System rekompensat – aspekty finansowe.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5.4.20. Zasady partycypacji w finansowaniu systemu nadzoru.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5.4.21. Procesy restrukturyzacji oraz uporządkowanej likwidacji podmiotu finansowego – założenia, możliwe scenariusze, wykorzystywane mechanizmy. </w:t>
            </w:r>
          </w:p>
          <w:p w:rsidR="00E0395B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5.4.22. Odpowiedzialność oraz rola poszczególnych instytucji w procesach restrukturyzacji i uporządkowanej likwidacji.</w:t>
            </w:r>
          </w:p>
          <w:p w:rsidR="00E0395B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395B" w:rsidRPr="00E0395B" w:rsidRDefault="00E0395B" w:rsidP="00E039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395B">
              <w:rPr>
                <w:rFonts w:ascii="Times New Roman" w:hAnsi="Times New Roman" w:cs="Times New Roman"/>
                <w:b/>
                <w:sz w:val="18"/>
                <w:szCs w:val="18"/>
              </w:rPr>
              <w:t>5.5. Finanse zakładów ubezpieczeń i zakładów reasekuracji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 System ubezpieczeń majątkowych i osobowych (formy organizacyjno-prawne prowadzenia działalności ubezpieczeniowej, istota i rodzaje ubezpieczeń).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5.5.2. Operacje w działalności ubezpieczeniowej.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5.5.3. Kapitał zakładowy oraz inne kapitały i fundusze specjalne zakładu ubezpieczeń i zakładu reasekuracji – tworzenie, przeznaczenie, wykorzystanie, inne operacje tymi kapitałami i funduszami.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5.5.4. Zasady lokowania środków finansowych przez zakład ubezpieczeń i zakład reasekuracji.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5.5.5. Ryzyko w działalności zakładu ubezpieczeń i zakładu reasekuracji. System zarządzania ryzykiem. Własna ocena ryzyka i wypłacalności. 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5.5.6. Reasekuracja i inne techniki przenoszenia ryzyka. System kontroli wewnętrznej. Funkcja audytu wewnętrznego. Funkcja aktuarialna. Funkcja zgodności z przepisami. Funkcja zarządzania ryzykiem.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5.5.7. Wypłacalność zakładu ubezpieczeń i zakładu reasekuracji. Rezerwy techniczno- ubezpieczeniowe dla celów wypłacalności i dla celów rachunkowości. Środki własne zakładu ubezpieczeń i zakładu reasekuracji. Klasyfikacja pozycji środków własnych. Wymagany poziom środków własnych.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5.5.8. Relacje określonych ustawowo rodzajów i kategorii środków własnych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(podstawowe środki własne, uzupełniające środki własne, dopuszczone środki własne) do określonych ustawowo wymogów wypłacalności (kapitałowy wymóg wypłacalności, minimalny wymóg kapitałowy, nieprzekraczalny dolny próg minimalnego wymogu kapitałowego).</w:t>
            </w:r>
          </w:p>
          <w:p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5.5.9. Ubezpieczeniowy Fundusz Gwarancyjny – funkcje, zasady działania.</w:t>
            </w:r>
          </w:p>
          <w:p w:rsidR="004E6E0A" w:rsidRPr="004E6E0A" w:rsidRDefault="00E0395B" w:rsidP="00E0395B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5.5.10. Inne instytucje rynku ubezpieczeniowego – aspekty finansowe.</w:t>
            </w:r>
          </w:p>
        </w:tc>
        <w:tc>
          <w:tcPr>
            <w:tcW w:w="3736" w:type="dxa"/>
          </w:tcPr>
          <w:p w:rsidR="00E11EBE" w:rsidRDefault="00E11EBE" w:rsidP="008A2B6A"/>
        </w:tc>
        <w:tc>
          <w:tcPr>
            <w:tcW w:w="3686" w:type="dxa"/>
          </w:tcPr>
          <w:p w:rsidR="00E11EBE" w:rsidRDefault="00E11EBE" w:rsidP="008A2B6A"/>
        </w:tc>
        <w:tc>
          <w:tcPr>
            <w:tcW w:w="3685" w:type="dxa"/>
          </w:tcPr>
          <w:p w:rsidR="00E11EBE" w:rsidRDefault="00E11EBE" w:rsidP="008A2B6A"/>
        </w:tc>
      </w:tr>
    </w:tbl>
    <w:p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986A72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492" w:rsidRDefault="003D1492" w:rsidP="00E11EBE">
      <w:pPr>
        <w:spacing w:after="0" w:line="240" w:lineRule="auto"/>
      </w:pPr>
      <w:r>
        <w:separator/>
      </w:r>
    </w:p>
  </w:endnote>
  <w:endnote w:type="continuationSeparator" w:id="0">
    <w:p w:rsidR="003D1492" w:rsidRDefault="003D1492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492" w:rsidRDefault="003D1492" w:rsidP="00E11EBE">
      <w:pPr>
        <w:spacing w:after="0" w:line="240" w:lineRule="auto"/>
      </w:pPr>
      <w:r>
        <w:separator/>
      </w:r>
    </w:p>
  </w:footnote>
  <w:footnote w:type="continuationSeparator" w:id="0">
    <w:p w:rsidR="003D1492" w:rsidRDefault="003D1492" w:rsidP="00E11EBE">
      <w:pPr>
        <w:spacing w:after="0" w:line="240" w:lineRule="auto"/>
      </w:pPr>
      <w:r>
        <w:continuationSeparator/>
      </w:r>
    </w:p>
  </w:footnote>
  <w:footnote w:id="1">
    <w:p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:rsidR="00E11EBE" w:rsidRDefault="00E11EBE" w:rsidP="00E11EBE">
      <w:pPr>
        <w:pStyle w:val="Tekstprzypisudolnego"/>
      </w:pPr>
    </w:p>
  </w:footnote>
  <w:footnote w:id="2">
    <w:p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400F4"/>
    <w:rsid w:val="001108B5"/>
    <w:rsid w:val="003D1492"/>
    <w:rsid w:val="003E757B"/>
    <w:rsid w:val="004E6E0A"/>
    <w:rsid w:val="00501CD3"/>
    <w:rsid w:val="00562EC9"/>
    <w:rsid w:val="0061167F"/>
    <w:rsid w:val="008803F1"/>
    <w:rsid w:val="009063F8"/>
    <w:rsid w:val="00986A72"/>
    <w:rsid w:val="0098742F"/>
    <w:rsid w:val="009B22C5"/>
    <w:rsid w:val="009C5721"/>
    <w:rsid w:val="00AB2F8C"/>
    <w:rsid w:val="00B057E2"/>
    <w:rsid w:val="00CC3C98"/>
    <w:rsid w:val="00E0395B"/>
    <w:rsid w:val="00E11EBE"/>
    <w:rsid w:val="00E71DD2"/>
    <w:rsid w:val="00EA2990"/>
    <w:rsid w:val="00EB7A32"/>
    <w:rsid w:val="00F539FC"/>
    <w:rsid w:val="00F86726"/>
    <w:rsid w:val="00F8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4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1079</Words>
  <Characters>6475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5</cp:revision>
  <cp:lastPrinted>2022-08-04T12:22:00Z</cp:lastPrinted>
  <dcterms:created xsi:type="dcterms:W3CDTF">2022-10-21T12:59:00Z</dcterms:created>
  <dcterms:modified xsi:type="dcterms:W3CDTF">2022-10-24T12:55:00Z</dcterms:modified>
</cp:coreProperties>
</file>